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31" w:rsidRDefault="00275A3E" w:rsidP="00181231">
      <w:pPr>
        <w:spacing w:before="120" w:after="0" w:line="360" w:lineRule="auto"/>
        <w:jc w:val="center"/>
        <w:rPr>
          <w:rFonts w:ascii="Times New Roman" w:hAnsi="Times New Roman" w:cs="Times New Roman"/>
          <w:b/>
          <w:sz w:val="24"/>
          <w:szCs w:val="24"/>
        </w:rPr>
      </w:pPr>
      <w:r>
        <w:rPr>
          <w:rFonts w:ascii="Times New Roman" w:hAnsi="Times New Roman" w:cs="Times New Roman"/>
          <w:b/>
          <w:bCs/>
          <w:color w:val="000000"/>
          <w:sz w:val="24"/>
          <w:szCs w:val="24"/>
        </w:rPr>
        <w:t xml:space="preserve">Más allá de la gestión del riesgo: la </w:t>
      </w:r>
      <w:r w:rsidR="0028238E" w:rsidRPr="00CB4667">
        <w:rPr>
          <w:rFonts w:ascii="Times New Roman" w:hAnsi="Times New Roman" w:cs="Times New Roman"/>
          <w:b/>
          <w:bCs/>
          <w:color w:val="000000"/>
          <w:sz w:val="24"/>
          <w:szCs w:val="24"/>
        </w:rPr>
        <w:t xml:space="preserve">resiliencia comunitaria </w:t>
      </w:r>
      <w:r>
        <w:rPr>
          <w:rFonts w:ascii="Times New Roman" w:hAnsi="Times New Roman" w:cs="Times New Roman"/>
          <w:b/>
          <w:bCs/>
          <w:color w:val="000000"/>
          <w:sz w:val="24"/>
          <w:szCs w:val="24"/>
        </w:rPr>
        <w:t>como instrumento para la gestión del cambio</w:t>
      </w:r>
    </w:p>
    <w:p w:rsidR="000B09A6" w:rsidRPr="00D7555C" w:rsidRDefault="00181231" w:rsidP="000D2658">
      <w:pPr>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M</w:t>
      </w:r>
      <w:r w:rsidR="000B09A6" w:rsidRPr="00D7555C">
        <w:rPr>
          <w:rFonts w:ascii="Times New Roman" w:hAnsi="Times New Roman" w:cs="Times New Roman"/>
          <w:bCs/>
          <w:color w:val="000000"/>
          <w:sz w:val="24"/>
          <w:szCs w:val="24"/>
        </w:rPr>
        <w:t xml:space="preserve">. Sc. Diana Rosa Rodríguez González </w:t>
      </w:r>
      <w:hyperlink r:id="rId7" w:history="1">
        <w:r w:rsidR="000B09A6" w:rsidRPr="00D7555C">
          <w:rPr>
            <w:rStyle w:val="Hipervnculo"/>
            <w:rFonts w:ascii="Times New Roman" w:hAnsi="Times New Roman" w:cs="Times New Roman"/>
            <w:bCs/>
            <w:sz w:val="24"/>
            <w:szCs w:val="24"/>
          </w:rPr>
          <w:t>dianarg@uclv.cu</w:t>
        </w:r>
      </w:hyperlink>
      <w:r w:rsidR="000B09A6" w:rsidRPr="00D7555C">
        <w:rPr>
          <w:rFonts w:ascii="Times New Roman" w:hAnsi="Times New Roman" w:cs="Times New Roman"/>
          <w:bCs/>
          <w:color w:val="000000"/>
          <w:sz w:val="24"/>
          <w:szCs w:val="24"/>
        </w:rPr>
        <w:t xml:space="preserve">  </w:t>
      </w:r>
    </w:p>
    <w:p w:rsidR="000B09A6" w:rsidRPr="00D7555C" w:rsidRDefault="000B09A6" w:rsidP="000D2658">
      <w:pPr>
        <w:spacing w:after="0" w:line="360" w:lineRule="auto"/>
        <w:jc w:val="both"/>
        <w:rPr>
          <w:rFonts w:ascii="Times New Roman" w:hAnsi="Times New Roman" w:cs="Times New Roman"/>
          <w:bCs/>
          <w:color w:val="000000"/>
          <w:sz w:val="24"/>
          <w:szCs w:val="24"/>
        </w:rPr>
      </w:pPr>
      <w:r w:rsidRPr="00D7555C">
        <w:rPr>
          <w:rFonts w:ascii="Times New Roman" w:hAnsi="Times New Roman" w:cs="Times New Roman"/>
          <w:bCs/>
          <w:color w:val="000000"/>
          <w:sz w:val="24"/>
          <w:szCs w:val="24"/>
        </w:rPr>
        <w:t>Institución: Centro de Estudios Comunitarios/ Universidad Central “Marta Abreu” de Las Villas</w:t>
      </w:r>
    </w:p>
    <w:p w:rsidR="000B09A6" w:rsidRPr="00D7555C" w:rsidRDefault="000B09A6" w:rsidP="00FF5268">
      <w:pPr>
        <w:spacing w:after="120" w:line="360" w:lineRule="auto"/>
        <w:jc w:val="both"/>
        <w:rPr>
          <w:rFonts w:ascii="Times New Roman" w:hAnsi="Times New Roman" w:cs="Times New Roman"/>
          <w:bCs/>
          <w:color w:val="000000"/>
          <w:sz w:val="24"/>
          <w:szCs w:val="24"/>
        </w:rPr>
      </w:pPr>
      <w:r w:rsidRPr="00D7555C">
        <w:rPr>
          <w:rFonts w:ascii="Times New Roman" w:hAnsi="Times New Roman" w:cs="Times New Roman"/>
          <w:bCs/>
          <w:color w:val="000000"/>
          <w:sz w:val="24"/>
          <w:szCs w:val="24"/>
        </w:rPr>
        <w:t>País: Cuba</w:t>
      </w:r>
    </w:p>
    <w:p w:rsidR="000B09A6" w:rsidRPr="00D7555C" w:rsidRDefault="000B09A6" w:rsidP="000D2658">
      <w:pPr>
        <w:spacing w:after="0" w:line="360" w:lineRule="auto"/>
        <w:jc w:val="both"/>
        <w:rPr>
          <w:rFonts w:ascii="Times New Roman" w:hAnsi="Times New Roman" w:cs="Times New Roman"/>
          <w:bCs/>
          <w:color w:val="000000"/>
          <w:sz w:val="24"/>
          <w:szCs w:val="24"/>
        </w:rPr>
      </w:pPr>
      <w:r w:rsidRPr="00D7555C">
        <w:rPr>
          <w:rFonts w:ascii="Times New Roman" w:hAnsi="Times New Roman" w:cs="Times New Roman"/>
          <w:bCs/>
          <w:color w:val="000000"/>
          <w:sz w:val="24"/>
          <w:szCs w:val="24"/>
        </w:rPr>
        <w:t>Dra. C. Yamila Roque Doval</w:t>
      </w:r>
      <w:r w:rsidR="00012CF8" w:rsidRPr="00D7555C">
        <w:rPr>
          <w:rFonts w:ascii="Times New Roman" w:hAnsi="Times New Roman" w:cs="Times New Roman"/>
          <w:bCs/>
          <w:color w:val="000000"/>
          <w:sz w:val="24"/>
          <w:szCs w:val="24"/>
        </w:rPr>
        <w:t xml:space="preserve"> </w:t>
      </w:r>
      <w:hyperlink r:id="rId8" w:history="1">
        <w:r w:rsidR="00012CF8" w:rsidRPr="00D7555C">
          <w:rPr>
            <w:rStyle w:val="Hipervnculo"/>
            <w:rFonts w:ascii="Times New Roman" w:hAnsi="Times New Roman" w:cs="Times New Roman"/>
            <w:bCs/>
            <w:sz w:val="24"/>
            <w:szCs w:val="24"/>
          </w:rPr>
          <w:t>yamilar@uclv.cu</w:t>
        </w:r>
      </w:hyperlink>
      <w:r w:rsidR="00012CF8" w:rsidRPr="00D7555C">
        <w:rPr>
          <w:rFonts w:ascii="Times New Roman" w:hAnsi="Times New Roman" w:cs="Times New Roman"/>
          <w:bCs/>
          <w:color w:val="000000"/>
          <w:sz w:val="24"/>
          <w:szCs w:val="24"/>
        </w:rPr>
        <w:t xml:space="preserve"> </w:t>
      </w:r>
    </w:p>
    <w:p w:rsidR="000B09A6" w:rsidRPr="00D7555C" w:rsidRDefault="000B09A6" w:rsidP="000D2658">
      <w:pPr>
        <w:spacing w:after="0" w:line="360" w:lineRule="auto"/>
        <w:jc w:val="both"/>
        <w:rPr>
          <w:rFonts w:ascii="Times New Roman" w:hAnsi="Times New Roman" w:cs="Times New Roman"/>
          <w:bCs/>
          <w:color w:val="000000"/>
          <w:sz w:val="24"/>
          <w:szCs w:val="24"/>
        </w:rPr>
      </w:pPr>
      <w:r w:rsidRPr="00D7555C">
        <w:rPr>
          <w:rFonts w:ascii="Times New Roman" w:hAnsi="Times New Roman" w:cs="Times New Roman"/>
          <w:bCs/>
          <w:color w:val="000000"/>
          <w:sz w:val="24"/>
          <w:szCs w:val="24"/>
        </w:rPr>
        <w:t>Institución: Centro de Estudios Comunitarios/ Universidad Central “Marta Abreu” de Las Villas</w:t>
      </w:r>
    </w:p>
    <w:p w:rsidR="00767ACA" w:rsidRDefault="000B09A6" w:rsidP="00767ACA">
      <w:pPr>
        <w:spacing w:after="240" w:line="360" w:lineRule="auto"/>
        <w:jc w:val="both"/>
        <w:rPr>
          <w:rFonts w:ascii="Times New Roman" w:hAnsi="Times New Roman" w:cs="Times New Roman"/>
          <w:bCs/>
          <w:color w:val="000000"/>
          <w:sz w:val="24"/>
          <w:szCs w:val="24"/>
        </w:rPr>
      </w:pPr>
      <w:r w:rsidRPr="00D7555C">
        <w:rPr>
          <w:rFonts w:ascii="Times New Roman" w:hAnsi="Times New Roman" w:cs="Times New Roman"/>
          <w:bCs/>
          <w:color w:val="000000"/>
          <w:sz w:val="24"/>
          <w:szCs w:val="24"/>
        </w:rPr>
        <w:t>País: Cuba</w:t>
      </w:r>
    </w:p>
    <w:p w:rsidR="00F8333B" w:rsidRDefault="00C40932" w:rsidP="0046567F">
      <w:pPr>
        <w:spacing w:after="24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Los</w:t>
      </w:r>
      <w:r w:rsidRPr="00C40932">
        <w:rPr>
          <w:rFonts w:ascii="Times New Roman" w:hAnsi="Times New Roman" w:cs="Times New Roman"/>
          <w:bCs/>
          <w:color w:val="000000"/>
          <w:sz w:val="24"/>
          <w:szCs w:val="24"/>
        </w:rPr>
        <w:t xml:space="preserve"> fenómenos</w:t>
      </w:r>
      <w:r>
        <w:rPr>
          <w:rFonts w:ascii="Times New Roman" w:hAnsi="Times New Roman" w:cs="Times New Roman"/>
          <w:bCs/>
          <w:color w:val="000000"/>
          <w:sz w:val="24"/>
          <w:szCs w:val="24"/>
        </w:rPr>
        <w:t xml:space="preserve"> </w:t>
      </w:r>
      <w:r w:rsidRPr="00C40932">
        <w:rPr>
          <w:rFonts w:ascii="Times New Roman" w:hAnsi="Times New Roman" w:cs="Times New Roman"/>
          <w:bCs/>
          <w:color w:val="000000"/>
          <w:sz w:val="24"/>
          <w:szCs w:val="24"/>
        </w:rPr>
        <w:t>de origen hidrometeorológico</w:t>
      </w:r>
      <w:r>
        <w:rPr>
          <w:rFonts w:ascii="Times New Roman" w:hAnsi="Times New Roman" w:cs="Times New Roman"/>
          <w:bCs/>
          <w:color w:val="000000"/>
          <w:sz w:val="24"/>
          <w:szCs w:val="24"/>
        </w:rPr>
        <w:t xml:space="preserve"> y sismológico constituyen los principales escenarios de riesgo a lo</w:t>
      </w:r>
      <w:r w:rsidRPr="00C40932">
        <w:rPr>
          <w:rFonts w:ascii="Times New Roman" w:hAnsi="Times New Roman" w:cs="Times New Roman"/>
          <w:bCs/>
          <w:color w:val="000000"/>
          <w:sz w:val="24"/>
          <w:szCs w:val="24"/>
        </w:rPr>
        <w:t>s que está expuesta</w:t>
      </w:r>
      <w:r w:rsidR="0046567F">
        <w:rPr>
          <w:rFonts w:ascii="Times New Roman" w:hAnsi="Times New Roman" w:cs="Times New Roman"/>
          <w:bCs/>
          <w:color w:val="000000"/>
          <w:sz w:val="24"/>
          <w:szCs w:val="24"/>
        </w:rPr>
        <w:t xml:space="preserve"> la población cubana. El enfoque por el que se apuesta </w:t>
      </w:r>
      <w:r w:rsidR="00A8391A">
        <w:rPr>
          <w:rFonts w:ascii="Times New Roman" w:hAnsi="Times New Roman" w:cs="Times New Roman"/>
          <w:bCs/>
          <w:color w:val="000000"/>
          <w:sz w:val="24"/>
          <w:szCs w:val="24"/>
        </w:rPr>
        <w:t xml:space="preserve">en Cuba </w:t>
      </w:r>
      <w:r w:rsidR="0046567F">
        <w:rPr>
          <w:rFonts w:ascii="Times New Roman" w:hAnsi="Times New Roman" w:cs="Times New Roman"/>
          <w:bCs/>
          <w:color w:val="000000"/>
          <w:sz w:val="24"/>
          <w:szCs w:val="24"/>
        </w:rPr>
        <w:t xml:space="preserve">es el de la prevención para reducir las posibilidades de que el impacto de estos fenómenos se transforme en una situación de desastre o crisis humanitaria. </w:t>
      </w:r>
      <w:r w:rsidR="00A8391A">
        <w:rPr>
          <w:rFonts w:ascii="Times New Roman" w:hAnsi="Times New Roman" w:cs="Times New Roman"/>
          <w:bCs/>
          <w:color w:val="000000"/>
          <w:sz w:val="24"/>
          <w:szCs w:val="24"/>
        </w:rPr>
        <w:t>Desde el enfoque preventivo, l</w:t>
      </w:r>
      <w:r w:rsidR="0046567F">
        <w:rPr>
          <w:rFonts w:ascii="Times New Roman" w:hAnsi="Times New Roman" w:cs="Times New Roman"/>
          <w:bCs/>
          <w:color w:val="000000"/>
          <w:sz w:val="24"/>
          <w:szCs w:val="24"/>
        </w:rPr>
        <w:t xml:space="preserve">a educación ambiental ha sido un instrumento </w:t>
      </w:r>
      <w:r w:rsidR="00A8391A">
        <w:rPr>
          <w:rFonts w:ascii="Times New Roman" w:hAnsi="Times New Roman" w:cs="Times New Roman"/>
          <w:bCs/>
          <w:color w:val="000000"/>
          <w:sz w:val="24"/>
          <w:szCs w:val="24"/>
        </w:rPr>
        <w:t xml:space="preserve">clave en la reducción de riesgos </w:t>
      </w:r>
      <w:r w:rsidR="008441D9">
        <w:rPr>
          <w:rFonts w:ascii="Times New Roman" w:hAnsi="Times New Roman" w:cs="Times New Roman"/>
          <w:bCs/>
          <w:color w:val="000000"/>
          <w:sz w:val="24"/>
          <w:szCs w:val="24"/>
        </w:rPr>
        <w:t>de</w:t>
      </w:r>
      <w:r w:rsidR="00A8391A">
        <w:rPr>
          <w:rFonts w:ascii="Times New Roman" w:hAnsi="Times New Roman" w:cs="Times New Roman"/>
          <w:bCs/>
          <w:color w:val="000000"/>
          <w:sz w:val="24"/>
          <w:szCs w:val="24"/>
        </w:rPr>
        <w:t xml:space="preserve"> desastres</w:t>
      </w:r>
      <w:r w:rsidR="00917542">
        <w:rPr>
          <w:rFonts w:ascii="Times New Roman" w:hAnsi="Times New Roman" w:cs="Times New Roman"/>
          <w:bCs/>
          <w:color w:val="000000"/>
          <w:sz w:val="24"/>
          <w:szCs w:val="24"/>
        </w:rPr>
        <w:t>. Como país en desarrollo</w:t>
      </w:r>
      <w:r w:rsidR="007E3DA7">
        <w:rPr>
          <w:rFonts w:ascii="Times New Roman" w:hAnsi="Times New Roman" w:cs="Times New Roman"/>
          <w:bCs/>
          <w:color w:val="000000"/>
          <w:sz w:val="24"/>
          <w:szCs w:val="24"/>
        </w:rPr>
        <w:t xml:space="preserve">, Cuba ha debido </w:t>
      </w:r>
      <w:r w:rsidR="00632F79">
        <w:rPr>
          <w:rFonts w:ascii="Times New Roman" w:hAnsi="Times New Roman" w:cs="Times New Roman"/>
          <w:bCs/>
          <w:color w:val="000000"/>
          <w:sz w:val="24"/>
          <w:szCs w:val="24"/>
        </w:rPr>
        <w:t>poner mayor énfasis en</w:t>
      </w:r>
      <w:r w:rsidR="007E3DA7">
        <w:rPr>
          <w:rFonts w:ascii="Times New Roman" w:hAnsi="Times New Roman" w:cs="Times New Roman"/>
          <w:bCs/>
          <w:color w:val="000000"/>
          <w:sz w:val="24"/>
          <w:szCs w:val="24"/>
        </w:rPr>
        <w:t xml:space="preserve"> la concientización e información de la ciudadanía acerca de las amenazas a las que está expuesta y la capacitación para realizar acciones que deriven en una pronta recuperación.</w:t>
      </w:r>
      <w:r w:rsidR="00632F79">
        <w:rPr>
          <w:rFonts w:ascii="Times New Roman" w:hAnsi="Times New Roman" w:cs="Times New Roman"/>
          <w:bCs/>
          <w:color w:val="000000"/>
          <w:sz w:val="24"/>
          <w:szCs w:val="24"/>
        </w:rPr>
        <w:t xml:space="preserve"> </w:t>
      </w:r>
    </w:p>
    <w:p w:rsidR="00E25816" w:rsidRDefault="00E25816" w:rsidP="0046567F">
      <w:pPr>
        <w:spacing w:after="24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De esta manera, Cuba constituye uno de los países de la región con menor índice de pérdidas de vidas humanas, pero ha perdido más de 20 mil millones de dólares en los últimos 20 años. Por otro lado, la derivación de las estrategias de reducción de riesgos ante desastres desde el nivel macro-social supone el permanente desafío de responder adecuadamente a la diversidad de contextos</w:t>
      </w:r>
      <w:r w:rsidR="003F0214">
        <w:rPr>
          <w:rFonts w:ascii="Times New Roman" w:hAnsi="Times New Roman" w:cs="Times New Roman"/>
          <w:bCs/>
          <w:color w:val="000000"/>
          <w:sz w:val="24"/>
          <w:szCs w:val="24"/>
        </w:rPr>
        <w:t xml:space="preserve">, sin caer en el asistencialismo, </w:t>
      </w:r>
      <w:r>
        <w:rPr>
          <w:rFonts w:ascii="Times New Roman" w:hAnsi="Times New Roman" w:cs="Times New Roman"/>
          <w:bCs/>
          <w:color w:val="000000"/>
          <w:sz w:val="24"/>
          <w:szCs w:val="24"/>
        </w:rPr>
        <w:t xml:space="preserve">y encontrar espacios para la participación de las poblaciones en la toma de decisiones y el diseño de estrategias que disminuyan su vulnerabilidad. </w:t>
      </w:r>
    </w:p>
    <w:p w:rsidR="00610AEF" w:rsidRDefault="008441D9" w:rsidP="002045C0">
      <w:pPr>
        <w:spacing w:after="24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En el marco de las propuestas teóricas y metodológicas para la reducción de riesgos de desastres </w:t>
      </w:r>
      <w:r w:rsidR="009C67AE">
        <w:rPr>
          <w:rFonts w:ascii="Times New Roman" w:hAnsi="Times New Roman" w:cs="Times New Roman"/>
          <w:bCs/>
          <w:color w:val="000000"/>
          <w:sz w:val="24"/>
          <w:szCs w:val="24"/>
        </w:rPr>
        <w:t xml:space="preserve">se coloca en el punto de mira </w:t>
      </w:r>
      <w:r w:rsidR="004D5663">
        <w:rPr>
          <w:rFonts w:ascii="Times New Roman" w:hAnsi="Times New Roman" w:cs="Times New Roman"/>
          <w:bCs/>
          <w:color w:val="000000"/>
          <w:sz w:val="24"/>
          <w:szCs w:val="24"/>
        </w:rPr>
        <w:t>la</w:t>
      </w:r>
      <w:r>
        <w:rPr>
          <w:rFonts w:ascii="Times New Roman" w:hAnsi="Times New Roman" w:cs="Times New Roman"/>
          <w:bCs/>
          <w:color w:val="000000"/>
          <w:sz w:val="24"/>
          <w:szCs w:val="24"/>
        </w:rPr>
        <w:t xml:space="preserve"> resiliencia</w:t>
      </w:r>
      <w:r w:rsidR="009C67AE">
        <w:rPr>
          <w:rFonts w:ascii="Times New Roman" w:hAnsi="Times New Roman" w:cs="Times New Roman"/>
          <w:bCs/>
          <w:color w:val="000000"/>
          <w:sz w:val="24"/>
          <w:szCs w:val="24"/>
        </w:rPr>
        <w:t>, concepto que ha sido a</w:t>
      </w:r>
      <w:r w:rsidR="009C67AE" w:rsidRPr="009C67AE">
        <w:rPr>
          <w:rFonts w:ascii="Times New Roman" w:hAnsi="Times New Roman" w:cs="Times New Roman"/>
          <w:bCs/>
          <w:color w:val="000000"/>
          <w:sz w:val="24"/>
          <w:szCs w:val="24"/>
        </w:rPr>
        <w:t>mpliamente adoptado y aplicado en la política y la práctica</w:t>
      </w:r>
      <w:r w:rsidR="009C67AE">
        <w:rPr>
          <w:rFonts w:ascii="Times New Roman" w:hAnsi="Times New Roman" w:cs="Times New Roman"/>
          <w:bCs/>
          <w:color w:val="000000"/>
          <w:sz w:val="24"/>
          <w:szCs w:val="24"/>
        </w:rPr>
        <w:t xml:space="preserve"> a nivel internacional</w:t>
      </w:r>
      <w:r>
        <w:rPr>
          <w:rFonts w:ascii="Times New Roman" w:hAnsi="Times New Roman" w:cs="Times New Roman"/>
          <w:bCs/>
          <w:color w:val="000000"/>
          <w:sz w:val="24"/>
          <w:szCs w:val="24"/>
        </w:rPr>
        <w:t>.</w:t>
      </w:r>
      <w:r w:rsidR="009C67AE">
        <w:rPr>
          <w:rFonts w:ascii="Times New Roman" w:hAnsi="Times New Roman" w:cs="Times New Roman"/>
          <w:bCs/>
          <w:color w:val="000000"/>
          <w:sz w:val="24"/>
          <w:szCs w:val="24"/>
        </w:rPr>
        <w:t xml:space="preserve"> </w:t>
      </w:r>
      <w:r w:rsidR="002045C0">
        <w:rPr>
          <w:rFonts w:ascii="Times New Roman" w:hAnsi="Times New Roman" w:cs="Times New Roman"/>
          <w:bCs/>
          <w:color w:val="000000"/>
          <w:sz w:val="24"/>
          <w:szCs w:val="24"/>
        </w:rPr>
        <w:t>Para (</w:t>
      </w:r>
      <w:r w:rsidR="002045C0" w:rsidRPr="002045C0">
        <w:rPr>
          <w:rFonts w:ascii="Times New Roman" w:hAnsi="Times New Roman" w:cs="Times New Roman"/>
          <w:bCs/>
          <w:color w:val="000000"/>
          <w:sz w:val="24"/>
          <w:szCs w:val="24"/>
        </w:rPr>
        <w:t>Brown, 201</w:t>
      </w:r>
      <w:r w:rsidR="002045C0">
        <w:rPr>
          <w:rFonts w:ascii="Times New Roman" w:hAnsi="Times New Roman" w:cs="Times New Roman"/>
          <w:bCs/>
          <w:color w:val="000000"/>
          <w:sz w:val="24"/>
          <w:szCs w:val="24"/>
        </w:rPr>
        <w:t>4)</w:t>
      </w:r>
      <w:r w:rsidR="004D5663">
        <w:rPr>
          <w:rFonts w:ascii="Times New Roman" w:hAnsi="Times New Roman" w:cs="Times New Roman"/>
          <w:bCs/>
          <w:color w:val="000000"/>
          <w:sz w:val="24"/>
          <w:szCs w:val="24"/>
        </w:rPr>
        <w:t xml:space="preserve"> este concepto e</w:t>
      </w:r>
      <w:r w:rsidR="002045C0">
        <w:rPr>
          <w:rFonts w:ascii="Times New Roman" w:hAnsi="Times New Roman" w:cs="Times New Roman"/>
          <w:bCs/>
          <w:color w:val="000000"/>
          <w:sz w:val="24"/>
          <w:szCs w:val="24"/>
        </w:rPr>
        <w:t>s similar a</w:t>
      </w:r>
      <w:r w:rsidR="004D5663">
        <w:rPr>
          <w:rFonts w:ascii="Times New Roman" w:hAnsi="Times New Roman" w:cs="Times New Roman"/>
          <w:bCs/>
          <w:color w:val="000000"/>
          <w:sz w:val="24"/>
          <w:szCs w:val="24"/>
        </w:rPr>
        <w:t>l de</w:t>
      </w:r>
      <w:r w:rsidR="002045C0">
        <w:rPr>
          <w:rFonts w:ascii="Times New Roman" w:hAnsi="Times New Roman" w:cs="Times New Roman"/>
          <w:bCs/>
          <w:color w:val="000000"/>
          <w:sz w:val="24"/>
          <w:szCs w:val="24"/>
        </w:rPr>
        <w:t xml:space="preserve"> sostenibilidad, </w:t>
      </w:r>
      <w:r w:rsidR="002045C0" w:rsidRPr="002045C0">
        <w:rPr>
          <w:rFonts w:ascii="Times New Roman" w:hAnsi="Times New Roman" w:cs="Times New Roman"/>
          <w:bCs/>
          <w:color w:val="000000"/>
          <w:sz w:val="24"/>
          <w:szCs w:val="24"/>
        </w:rPr>
        <w:t>ya que la maleabilidad</w:t>
      </w:r>
      <w:r w:rsidR="002045C0">
        <w:rPr>
          <w:rFonts w:ascii="Times New Roman" w:hAnsi="Times New Roman" w:cs="Times New Roman"/>
          <w:bCs/>
          <w:color w:val="000000"/>
          <w:sz w:val="24"/>
          <w:szCs w:val="24"/>
        </w:rPr>
        <w:t xml:space="preserve"> </w:t>
      </w:r>
      <w:r w:rsidR="002045C0" w:rsidRPr="002045C0">
        <w:rPr>
          <w:rFonts w:ascii="Times New Roman" w:hAnsi="Times New Roman" w:cs="Times New Roman"/>
          <w:bCs/>
          <w:color w:val="000000"/>
          <w:sz w:val="24"/>
          <w:szCs w:val="24"/>
        </w:rPr>
        <w:t>y plasticidad del término en sí mismo significa que puede</w:t>
      </w:r>
      <w:r w:rsidR="002045C0">
        <w:rPr>
          <w:rFonts w:ascii="Times New Roman" w:hAnsi="Times New Roman" w:cs="Times New Roman"/>
          <w:bCs/>
          <w:color w:val="000000"/>
          <w:sz w:val="24"/>
          <w:szCs w:val="24"/>
        </w:rPr>
        <w:t xml:space="preserve"> </w:t>
      </w:r>
      <w:r w:rsidR="002045C0" w:rsidRPr="002045C0">
        <w:rPr>
          <w:rFonts w:ascii="Times New Roman" w:hAnsi="Times New Roman" w:cs="Times New Roman"/>
          <w:bCs/>
          <w:color w:val="000000"/>
          <w:sz w:val="24"/>
          <w:szCs w:val="24"/>
        </w:rPr>
        <w:t>actuar como concepto puente, pero</w:t>
      </w:r>
      <w:r w:rsidR="002045C0">
        <w:rPr>
          <w:rFonts w:ascii="Times New Roman" w:hAnsi="Times New Roman" w:cs="Times New Roman"/>
          <w:bCs/>
          <w:color w:val="000000"/>
          <w:sz w:val="24"/>
          <w:szCs w:val="24"/>
        </w:rPr>
        <w:t xml:space="preserve"> t</w:t>
      </w:r>
      <w:r w:rsidR="002045C0" w:rsidRPr="002045C0">
        <w:rPr>
          <w:rFonts w:ascii="Times New Roman" w:hAnsi="Times New Roman" w:cs="Times New Roman"/>
          <w:bCs/>
          <w:color w:val="000000"/>
          <w:sz w:val="24"/>
          <w:szCs w:val="24"/>
        </w:rPr>
        <w:t>ambién puede ser cooptado por diferentes intereses.</w:t>
      </w:r>
      <w:r w:rsidR="00E2237C">
        <w:rPr>
          <w:rFonts w:ascii="Times New Roman" w:hAnsi="Times New Roman" w:cs="Times New Roman"/>
          <w:bCs/>
          <w:color w:val="000000"/>
          <w:sz w:val="24"/>
          <w:szCs w:val="24"/>
        </w:rPr>
        <w:t xml:space="preserve"> </w:t>
      </w:r>
    </w:p>
    <w:p w:rsidR="0017088D" w:rsidRDefault="00CE2076" w:rsidP="004A1DD2">
      <w:pPr>
        <w:spacing w:after="120" w:line="360" w:lineRule="auto"/>
        <w:jc w:val="both"/>
        <w:rPr>
          <w:rFonts w:ascii="Times New Roman" w:hAnsi="Times New Roman" w:cs="Times New Roman"/>
          <w:sz w:val="24"/>
          <w:szCs w:val="24"/>
        </w:rPr>
      </w:pPr>
      <w:r>
        <w:rPr>
          <w:rFonts w:ascii="Times New Roman" w:hAnsi="Times New Roman" w:cs="Times New Roman"/>
          <w:bCs/>
          <w:color w:val="000000"/>
          <w:sz w:val="24"/>
          <w:szCs w:val="24"/>
        </w:rPr>
        <w:lastRenderedPageBreak/>
        <w:t xml:space="preserve">Este trabajo </w:t>
      </w:r>
      <w:r w:rsidR="00275A3E">
        <w:rPr>
          <w:rFonts w:ascii="Times New Roman" w:hAnsi="Times New Roman" w:cs="Times New Roman"/>
          <w:sz w:val="24"/>
          <w:szCs w:val="24"/>
        </w:rPr>
        <w:t xml:space="preserve">tributa al planteamiento de la resiliencia comunitaria como un instrumento para la gestión del cambio mediante una revisión de </w:t>
      </w:r>
      <w:r w:rsidR="00275A3E" w:rsidRPr="00275A3E">
        <w:rPr>
          <w:rFonts w:ascii="Times New Roman" w:hAnsi="Times New Roman" w:cs="Times New Roman"/>
          <w:sz w:val="24"/>
          <w:szCs w:val="24"/>
        </w:rPr>
        <w:t xml:space="preserve">investigaciones </w:t>
      </w:r>
      <w:r w:rsidR="00275A3E">
        <w:rPr>
          <w:rFonts w:ascii="Times New Roman" w:hAnsi="Times New Roman" w:cs="Times New Roman"/>
          <w:sz w:val="24"/>
          <w:szCs w:val="24"/>
        </w:rPr>
        <w:t xml:space="preserve">publicadas teóricas y empíricas. </w:t>
      </w:r>
      <w:r w:rsidR="005A156D">
        <w:rPr>
          <w:rFonts w:ascii="Times New Roman" w:hAnsi="Times New Roman" w:cs="Times New Roman"/>
          <w:sz w:val="24"/>
          <w:szCs w:val="24"/>
        </w:rPr>
        <w:t>El concepto</w:t>
      </w:r>
      <w:r w:rsidR="005A156D" w:rsidRPr="00181231">
        <w:rPr>
          <w:rFonts w:ascii="Times New Roman" w:hAnsi="Times New Roman" w:cs="Times New Roman"/>
          <w:sz w:val="24"/>
          <w:szCs w:val="24"/>
        </w:rPr>
        <w:t xml:space="preserve"> resiliencia</w:t>
      </w:r>
      <w:r w:rsidR="005A156D" w:rsidRPr="002808E1">
        <w:rPr>
          <w:rFonts w:ascii="Times New Roman" w:hAnsi="Times New Roman" w:cs="Times New Roman"/>
          <w:sz w:val="24"/>
          <w:szCs w:val="24"/>
        </w:rPr>
        <w:t xml:space="preserve"> </w:t>
      </w:r>
      <w:r w:rsidR="005A156D" w:rsidRPr="00181231">
        <w:rPr>
          <w:rFonts w:ascii="Times New Roman" w:hAnsi="Times New Roman" w:cs="Times New Roman"/>
          <w:sz w:val="24"/>
          <w:szCs w:val="24"/>
        </w:rPr>
        <w:t>hace referencia a la capacidad de los ecosistemas de absorber perturbaciones sin alterar significativamente sus característica</w:t>
      </w:r>
      <w:r w:rsidR="005A156D">
        <w:rPr>
          <w:rFonts w:ascii="Times New Roman" w:hAnsi="Times New Roman" w:cs="Times New Roman"/>
          <w:sz w:val="24"/>
          <w:szCs w:val="24"/>
        </w:rPr>
        <w:t>s de estructura y funcionalidad</w:t>
      </w:r>
      <w:r w:rsidR="005A156D" w:rsidRPr="00181231">
        <w:rPr>
          <w:rFonts w:ascii="Times New Roman" w:hAnsi="Times New Roman" w:cs="Times New Roman"/>
          <w:sz w:val="24"/>
          <w:szCs w:val="24"/>
        </w:rPr>
        <w:t xml:space="preserve">. </w:t>
      </w:r>
      <w:r w:rsidR="0017088D">
        <w:rPr>
          <w:rFonts w:ascii="Times New Roman" w:hAnsi="Times New Roman" w:cs="Times New Roman"/>
          <w:sz w:val="24"/>
          <w:szCs w:val="24"/>
        </w:rPr>
        <w:t>Por tanto, ha sido asumido desde un enfoque conservador asociado a la restauración del equilibrio y del estado</w:t>
      </w:r>
      <w:r w:rsidR="004A1DD2">
        <w:rPr>
          <w:rFonts w:ascii="Times New Roman" w:hAnsi="Times New Roman" w:cs="Times New Roman"/>
          <w:sz w:val="24"/>
          <w:szCs w:val="24"/>
        </w:rPr>
        <w:t xml:space="preserve"> de cosas anterior al impacto</w:t>
      </w:r>
      <w:r w:rsidR="0017088D">
        <w:rPr>
          <w:rFonts w:ascii="Times New Roman" w:hAnsi="Times New Roman" w:cs="Times New Roman"/>
          <w:sz w:val="24"/>
          <w:szCs w:val="24"/>
        </w:rPr>
        <w:t xml:space="preserve">. </w:t>
      </w:r>
      <w:r w:rsidR="004A1DD2">
        <w:rPr>
          <w:rFonts w:ascii="Times New Roman" w:hAnsi="Times New Roman" w:cs="Times New Roman"/>
          <w:sz w:val="24"/>
          <w:szCs w:val="24"/>
        </w:rPr>
        <w:t xml:space="preserve">No obstante, existen autores que vinculan la resiliencia con la transformación </w:t>
      </w:r>
      <w:r w:rsidR="004A1DD2" w:rsidRPr="004A1DD2">
        <w:rPr>
          <w:rFonts w:ascii="Times New Roman" w:hAnsi="Times New Roman" w:cs="Times New Roman"/>
          <w:sz w:val="24"/>
          <w:szCs w:val="24"/>
        </w:rPr>
        <w:t>(</w:t>
      </w:r>
      <w:r w:rsidR="003B39CB">
        <w:rPr>
          <w:rFonts w:ascii="Times New Roman" w:hAnsi="Times New Roman" w:cs="Times New Roman"/>
          <w:sz w:val="24"/>
          <w:szCs w:val="24"/>
        </w:rPr>
        <w:t xml:space="preserve">Folke et al., 2010; </w:t>
      </w:r>
      <w:r w:rsidR="004A1DD2" w:rsidRPr="004A1DD2">
        <w:rPr>
          <w:rFonts w:ascii="Times New Roman" w:hAnsi="Times New Roman" w:cs="Times New Roman"/>
          <w:sz w:val="24"/>
          <w:szCs w:val="24"/>
        </w:rPr>
        <w:t>Hackman y St Clair, 2012;</w:t>
      </w:r>
      <w:r w:rsidR="004A1DD2">
        <w:rPr>
          <w:rFonts w:ascii="Times New Roman" w:hAnsi="Times New Roman" w:cs="Times New Roman"/>
          <w:sz w:val="24"/>
          <w:szCs w:val="24"/>
        </w:rPr>
        <w:t xml:space="preserve"> O'Brien, 2012; </w:t>
      </w:r>
      <w:r w:rsidR="004A1DD2" w:rsidRPr="004A1DD2">
        <w:rPr>
          <w:rFonts w:ascii="Times New Roman" w:hAnsi="Times New Roman" w:cs="Times New Roman"/>
          <w:sz w:val="24"/>
          <w:szCs w:val="24"/>
        </w:rPr>
        <w:t>Kates et al., 2012).</w:t>
      </w:r>
    </w:p>
    <w:p w:rsidR="003B39CB" w:rsidRDefault="0017088D" w:rsidP="00470B54">
      <w:pPr>
        <w:spacing w:after="120" w:line="360" w:lineRule="auto"/>
        <w:jc w:val="both"/>
      </w:pPr>
      <w:r>
        <w:rPr>
          <w:rFonts w:ascii="Times New Roman" w:hAnsi="Times New Roman" w:cs="Times New Roman"/>
          <w:sz w:val="24"/>
          <w:szCs w:val="24"/>
        </w:rPr>
        <w:t xml:space="preserve">La resiliencia no supone un estado de invulnerabilidad, sino la capacidad de poner en marcha procesos dinámicos y </w:t>
      </w:r>
      <w:r w:rsidRPr="00E349A7">
        <w:rPr>
          <w:rFonts w:ascii="Times New Roman" w:hAnsi="Times New Roman" w:cs="Times New Roman"/>
          <w:sz w:val="24"/>
          <w:szCs w:val="24"/>
        </w:rPr>
        <w:t xml:space="preserve">complejos de recuperación y readaptación. </w:t>
      </w:r>
      <w:r w:rsidR="004A1DD2" w:rsidRPr="00E349A7">
        <w:rPr>
          <w:rFonts w:ascii="Times New Roman" w:hAnsi="Times New Roman" w:cs="Times New Roman"/>
          <w:sz w:val="24"/>
          <w:szCs w:val="24"/>
        </w:rPr>
        <w:t>Los principales resultados apuntan a que el cambio climático y los objetivos de desarrollo sostenible de la Agenda 2030 han colocado la transformación en el centro de los debates</w:t>
      </w:r>
      <w:r w:rsidR="00E349A7" w:rsidRPr="00E349A7">
        <w:rPr>
          <w:rFonts w:ascii="Times New Roman" w:hAnsi="Times New Roman" w:cs="Times New Roman"/>
          <w:sz w:val="24"/>
          <w:szCs w:val="24"/>
        </w:rPr>
        <w:t>, especialmente</w:t>
      </w:r>
      <w:r w:rsidR="004A1DD2" w:rsidRPr="00E349A7">
        <w:rPr>
          <w:rFonts w:ascii="Times New Roman" w:hAnsi="Times New Roman" w:cs="Times New Roman"/>
          <w:sz w:val="24"/>
          <w:szCs w:val="24"/>
        </w:rPr>
        <w:t xml:space="preserve"> en torno a </w:t>
      </w:r>
      <w:r w:rsidR="00E349A7" w:rsidRPr="00E349A7">
        <w:rPr>
          <w:rFonts w:ascii="Times New Roman" w:hAnsi="Times New Roman" w:cs="Times New Roman"/>
          <w:sz w:val="24"/>
          <w:szCs w:val="24"/>
        </w:rPr>
        <w:t xml:space="preserve">fuentes de energía y consumo. </w:t>
      </w:r>
      <w:r w:rsidR="008A7944">
        <w:rPr>
          <w:rFonts w:ascii="Times New Roman" w:hAnsi="Times New Roman" w:cs="Times New Roman"/>
          <w:sz w:val="24"/>
          <w:szCs w:val="24"/>
        </w:rPr>
        <w:t>La resiliencia como instrumento de gestión del cambio propicia la creación de espacios para la participación ciudadana y aporta enfoques más inclusivos.</w:t>
      </w:r>
      <w:r w:rsidR="008A7944">
        <w:rPr>
          <w:rFonts w:ascii="Times New Roman" w:hAnsi="Times New Roman" w:cs="Times New Roman"/>
          <w:sz w:val="24"/>
          <w:szCs w:val="24"/>
        </w:rPr>
        <w:t xml:space="preserve"> S</w:t>
      </w:r>
      <w:r w:rsidR="00E349A7" w:rsidRPr="00E349A7">
        <w:rPr>
          <w:rFonts w:ascii="Times New Roman" w:hAnsi="Times New Roman" w:cs="Times New Roman"/>
          <w:sz w:val="24"/>
          <w:szCs w:val="24"/>
        </w:rPr>
        <w:t xml:space="preserve">e encuentra asociada a </w:t>
      </w:r>
      <w:r w:rsidR="003B39CB" w:rsidRPr="00E349A7">
        <w:rPr>
          <w:rFonts w:ascii="Times New Roman" w:hAnsi="Times New Roman" w:cs="Times New Roman"/>
          <w:sz w:val="24"/>
          <w:szCs w:val="24"/>
        </w:rPr>
        <w:t xml:space="preserve">cambios en </w:t>
      </w:r>
      <w:r w:rsidR="00ED39C0">
        <w:rPr>
          <w:rFonts w:ascii="Times New Roman" w:hAnsi="Times New Roman" w:cs="Times New Roman"/>
          <w:sz w:val="24"/>
          <w:szCs w:val="24"/>
        </w:rPr>
        <w:t xml:space="preserve">dimensiones culturales y </w:t>
      </w:r>
      <w:r w:rsidR="00E349A7" w:rsidRPr="00E349A7">
        <w:rPr>
          <w:rFonts w:ascii="Times New Roman" w:hAnsi="Times New Roman" w:cs="Times New Roman"/>
          <w:sz w:val="24"/>
          <w:szCs w:val="24"/>
        </w:rPr>
        <w:t xml:space="preserve">simbólicas, </w:t>
      </w:r>
      <w:r w:rsidR="00470B54">
        <w:rPr>
          <w:rFonts w:ascii="Times New Roman" w:hAnsi="Times New Roman" w:cs="Times New Roman"/>
          <w:sz w:val="24"/>
          <w:szCs w:val="24"/>
        </w:rPr>
        <w:t>a la percepción de</w:t>
      </w:r>
      <w:r w:rsidR="00E349A7" w:rsidRPr="00E349A7">
        <w:rPr>
          <w:rFonts w:ascii="Times New Roman" w:hAnsi="Times New Roman" w:cs="Times New Roman"/>
          <w:sz w:val="24"/>
          <w:szCs w:val="24"/>
        </w:rPr>
        <w:t xml:space="preserve"> la calidad de vida</w:t>
      </w:r>
      <w:r w:rsidR="00470B54">
        <w:rPr>
          <w:rFonts w:ascii="Times New Roman" w:hAnsi="Times New Roman" w:cs="Times New Roman"/>
          <w:sz w:val="24"/>
          <w:szCs w:val="24"/>
        </w:rPr>
        <w:t xml:space="preserve"> y en las </w:t>
      </w:r>
      <w:r w:rsidR="00470B54" w:rsidRPr="00470B54">
        <w:rPr>
          <w:rFonts w:ascii="Times New Roman" w:hAnsi="Times New Roman" w:cs="Times New Roman"/>
          <w:sz w:val="24"/>
          <w:szCs w:val="24"/>
        </w:rPr>
        <w:t xml:space="preserve">interacciones entre actores, líderes, </w:t>
      </w:r>
      <w:r w:rsidR="003B39CB" w:rsidRPr="00470B54">
        <w:rPr>
          <w:rFonts w:ascii="Times New Roman" w:hAnsi="Times New Roman" w:cs="Times New Roman"/>
          <w:sz w:val="24"/>
          <w:szCs w:val="24"/>
        </w:rPr>
        <w:t xml:space="preserve"> relaciones políticas e institucionales.</w:t>
      </w:r>
      <w:r w:rsidR="005938E6">
        <w:rPr>
          <w:rFonts w:ascii="Times New Roman" w:hAnsi="Times New Roman" w:cs="Times New Roman"/>
          <w:sz w:val="24"/>
          <w:szCs w:val="24"/>
        </w:rPr>
        <w:t xml:space="preserve"> </w:t>
      </w:r>
    </w:p>
    <w:p w:rsidR="00181231" w:rsidRPr="008A7944" w:rsidRDefault="00340D4F" w:rsidP="00D7555C">
      <w:pPr>
        <w:spacing w:line="360" w:lineRule="auto"/>
        <w:rPr>
          <w:rFonts w:ascii="Times New Roman" w:hAnsi="Times New Roman" w:cs="Times New Roman"/>
          <w:b/>
          <w:sz w:val="24"/>
          <w:szCs w:val="24"/>
          <w:lang w:val="en-US"/>
        </w:rPr>
      </w:pPr>
      <w:r w:rsidRPr="008A7944">
        <w:rPr>
          <w:rFonts w:ascii="Times New Roman" w:hAnsi="Times New Roman" w:cs="Times New Roman"/>
          <w:b/>
          <w:sz w:val="24"/>
          <w:szCs w:val="24"/>
          <w:lang w:val="en-US"/>
        </w:rPr>
        <w:t>Referencias B</w:t>
      </w:r>
      <w:r w:rsidR="00181231" w:rsidRPr="008A7944">
        <w:rPr>
          <w:rFonts w:ascii="Times New Roman" w:hAnsi="Times New Roman" w:cs="Times New Roman"/>
          <w:b/>
          <w:sz w:val="24"/>
          <w:szCs w:val="24"/>
          <w:lang w:val="en-US"/>
        </w:rPr>
        <w:t>ibliográficas</w:t>
      </w:r>
      <w:bookmarkStart w:id="0" w:name="_GoBack"/>
      <w:bookmarkEnd w:id="0"/>
    </w:p>
    <w:p w:rsidR="006D3B92" w:rsidRDefault="00F225CE" w:rsidP="006D3B92">
      <w:pPr>
        <w:spacing w:line="360" w:lineRule="auto"/>
        <w:ind w:left="709" w:hanging="709"/>
        <w:rPr>
          <w:rFonts w:ascii="Times New Roman" w:hAnsi="Times New Roman" w:cs="Times New Roman"/>
          <w:sz w:val="24"/>
          <w:szCs w:val="24"/>
          <w:lang w:val="en-US"/>
        </w:rPr>
      </w:pPr>
      <w:r w:rsidRPr="00F225CE">
        <w:rPr>
          <w:rFonts w:ascii="Times New Roman" w:hAnsi="Times New Roman" w:cs="Times New Roman"/>
          <w:sz w:val="24"/>
          <w:szCs w:val="24"/>
          <w:lang w:val="en-US"/>
        </w:rPr>
        <w:t>Brown, K. (2014)</w:t>
      </w:r>
      <w:r>
        <w:rPr>
          <w:rFonts w:ascii="Times New Roman" w:hAnsi="Times New Roman" w:cs="Times New Roman"/>
          <w:sz w:val="24"/>
          <w:szCs w:val="24"/>
          <w:lang w:val="en-US"/>
        </w:rPr>
        <w:t xml:space="preserve">. Global environmental change I: A social turn for resilience? </w:t>
      </w:r>
      <w:r w:rsidRPr="00C9194B">
        <w:rPr>
          <w:rFonts w:ascii="Times New Roman" w:hAnsi="Times New Roman" w:cs="Times New Roman"/>
          <w:i/>
          <w:sz w:val="24"/>
          <w:szCs w:val="24"/>
          <w:lang w:val="en-US"/>
        </w:rPr>
        <w:t>Progress in Human Geography</w:t>
      </w:r>
      <w:r w:rsidR="006D3B92">
        <w:rPr>
          <w:rFonts w:ascii="Times New Roman" w:hAnsi="Times New Roman" w:cs="Times New Roman"/>
          <w:sz w:val="24"/>
          <w:szCs w:val="24"/>
          <w:lang w:val="en-US"/>
        </w:rPr>
        <w:t>, 38 (1):</w:t>
      </w:r>
      <w:r>
        <w:rPr>
          <w:rFonts w:ascii="Times New Roman" w:hAnsi="Times New Roman" w:cs="Times New Roman"/>
          <w:sz w:val="24"/>
          <w:szCs w:val="24"/>
          <w:lang w:val="en-US"/>
        </w:rPr>
        <w:t>10</w:t>
      </w:r>
      <w:r w:rsidR="006D3B92">
        <w:rPr>
          <w:rFonts w:ascii="Times New Roman" w:hAnsi="Times New Roman" w:cs="Times New Roman"/>
          <w:sz w:val="24"/>
          <w:szCs w:val="24"/>
          <w:lang w:val="en-US"/>
        </w:rPr>
        <w:t xml:space="preserve"> </w:t>
      </w:r>
      <w:r>
        <w:rPr>
          <w:rFonts w:ascii="Times New Roman" w:hAnsi="Times New Roman" w:cs="Times New Roman"/>
          <w:sz w:val="24"/>
          <w:szCs w:val="24"/>
          <w:lang w:val="en-US"/>
        </w:rPr>
        <w:t>7-117</w:t>
      </w:r>
    </w:p>
    <w:p w:rsidR="006D3B92" w:rsidRDefault="006D3B92" w:rsidP="006D3B92">
      <w:pPr>
        <w:spacing w:line="360" w:lineRule="auto"/>
        <w:ind w:left="709" w:hanging="709"/>
        <w:rPr>
          <w:rFonts w:ascii="Times New Roman" w:hAnsi="Times New Roman" w:cs="Times New Roman"/>
          <w:sz w:val="24"/>
          <w:szCs w:val="24"/>
          <w:lang w:val="en-US"/>
        </w:rPr>
      </w:pPr>
      <w:r>
        <w:rPr>
          <w:rFonts w:ascii="Times New Roman" w:hAnsi="Times New Roman" w:cs="Times New Roman"/>
          <w:sz w:val="24"/>
          <w:szCs w:val="24"/>
          <w:lang w:val="en-US"/>
        </w:rPr>
        <w:t xml:space="preserve">Folke C, Carpenter SR, </w:t>
      </w:r>
      <w:r w:rsidRPr="006D3B92">
        <w:rPr>
          <w:rFonts w:ascii="Times New Roman" w:hAnsi="Times New Roman" w:cs="Times New Roman"/>
          <w:sz w:val="24"/>
          <w:szCs w:val="24"/>
          <w:lang w:val="en-US"/>
        </w:rPr>
        <w:t>Walker B, et al. (2010) Resilience</w:t>
      </w:r>
      <w:r>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 xml:space="preserve">thinking: Integrating resilience, adaptability and transformability. </w:t>
      </w:r>
      <w:r w:rsidRPr="005C0934">
        <w:rPr>
          <w:rFonts w:ascii="Times New Roman" w:hAnsi="Times New Roman" w:cs="Times New Roman"/>
          <w:i/>
          <w:sz w:val="24"/>
          <w:szCs w:val="24"/>
          <w:lang w:val="en-US"/>
        </w:rPr>
        <w:t>Ecology and Society</w:t>
      </w:r>
      <w:r w:rsidR="005C0934">
        <w:rPr>
          <w:rFonts w:ascii="Times New Roman" w:hAnsi="Times New Roman" w:cs="Times New Roman"/>
          <w:sz w:val="24"/>
          <w:szCs w:val="24"/>
          <w:lang w:val="en-US"/>
        </w:rPr>
        <w:t>,</w:t>
      </w:r>
      <w:r>
        <w:rPr>
          <w:rFonts w:ascii="Times New Roman" w:hAnsi="Times New Roman" w:cs="Times New Roman"/>
          <w:sz w:val="24"/>
          <w:szCs w:val="24"/>
          <w:lang w:val="en-US"/>
        </w:rPr>
        <w:t xml:space="preserve"> 15 (4): 2</w:t>
      </w:r>
    </w:p>
    <w:p w:rsidR="006D3B92" w:rsidRDefault="006D3B92" w:rsidP="006D3B92">
      <w:pPr>
        <w:spacing w:line="360" w:lineRule="auto"/>
        <w:ind w:left="709" w:hanging="709"/>
        <w:rPr>
          <w:rFonts w:ascii="Times New Roman" w:hAnsi="Times New Roman" w:cs="Times New Roman"/>
          <w:sz w:val="24"/>
          <w:szCs w:val="24"/>
          <w:lang w:val="en-US"/>
        </w:rPr>
      </w:pPr>
      <w:r w:rsidRPr="006D3B92">
        <w:rPr>
          <w:rFonts w:ascii="Times New Roman" w:hAnsi="Times New Roman" w:cs="Times New Roman"/>
          <w:sz w:val="24"/>
          <w:szCs w:val="24"/>
          <w:lang w:val="en-US"/>
        </w:rPr>
        <w:t>Hackman</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H</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w:t>
      </w:r>
      <w:r w:rsidR="005C0934">
        <w:rPr>
          <w:rFonts w:ascii="Times New Roman" w:hAnsi="Times New Roman" w:cs="Times New Roman"/>
          <w:sz w:val="24"/>
          <w:szCs w:val="24"/>
          <w:lang w:val="en-US"/>
        </w:rPr>
        <w:t xml:space="preserve">&amp; </w:t>
      </w:r>
      <w:r w:rsidRPr="006D3B92">
        <w:rPr>
          <w:rFonts w:ascii="Times New Roman" w:hAnsi="Times New Roman" w:cs="Times New Roman"/>
          <w:sz w:val="24"/>
          <w:szCs w:val="24"/>
          <w:lang w:val="en-US"/>
        </w:rPr>
        <w:t>St Clair</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A</w:t>
      </w:r>
      <w:r w:rsidR="005C0934">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L</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(2012) Transformative Cornerstones of Social Science Research for Global</w:t>
      </w:r>
      <w:r>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Change. Paris: ISSC</w:t>
      </w:r>
    </w:p>
    <w:p w:rsidR="006D3B92" w:rsidRDefault="006D3B92" w:rsidP="006D3B92">
      <w:pPr>
        <w:spacing w:line="360" w:lineRule="auto"/>
        <w:ind w:left="709" w:hanging="709"/>
        <w:rPr>
          <w:rFonts w:ascii="Times New Roman" w:hAnsi="Times New Roman" w:cs="Times New Roman"/>
          <w:sz w:val="24"/>
          <w:szCs w:val="24"/>
          <w:lang w:val="en-US"/>
        </w:rPr>
      </w:pPr>
      <w:r w:rsidRPr="006D3B92">
        <w:rPr>
          <w:rFonts w:ascii="Times New Roman" w:hAnsi="Times New Roman" w:cs="Times New Roman"/>
          <w:sz w:val="24"/>
          <w:szCs w:val="24"/>
          <w:lang w:val="en-US"/>
        </w:rPr>
        <w:t>Kates</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R</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W</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Travis</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W</w:t>
      </w:r>
      <w:r w:rsidR="005C0934">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R</w:t>
      </w:r>
      <w:r w:rsidR="005C0934">
        <w:rPr>
          <w:rFonts w:ascii="Times New Roman" w:hAnsi="Times New Roman" w:cs="Times New Roman"/>
          <w:sz w:val="24"/>
          <w:szCs w:val="24"/>
          <w:lang w:val="en-US"/>
        </w:rPr>
        <w:t>. &amp;</w:t>
      </w:r>
      <w:r w:rsidRPr="006D3B92">
        <w:rPr>
          <w:rFonts w:ascii="Times New Roman" w:hAnsi="Times New Roman" w:cs="Times New Roman"/>
          <w:sz w:val="24"/>
          <w:szCs w:val="24"/>
          <w:lang w:val="en-US"/>
        </w:rPr>
        <w:t xml:space="preserve"> Wilbanks</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T</w:t>
      </w:r>
      <w:r w:rsidR="005C0934">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J</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(2012) Transformational adaptation when incremental adaptations to</w:t>
      </w:r>
      <w:r>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climate change are i</w:t>
      </w:r>
      <w:r>
        <w:rPr>
          <w:rFonts w:ascii="Times New Roman" w:hAnsi="Times New Roman" w:cs="Times New Roman"/>
          <w:sz w:val="24"/>
          <w:szCs w:val="24"/>
          <w:lang w:val="en-US"/>
        </w:rPr>
        <w:t xml:space="preserve">nsufficient. </w:t>
      </w:r>
      <w:r w:rsidRPr="005C0934">
        <w:rPr>
          <w:rFonts w:ascii="Times New Roman" w:hAnsi="Times New Roman" w:cs="Times New Roman"/>
          <w:i/>
          <w:sz w:val="24"/>
          <w:szCs w:val="24"/>
          <w:lang w:val="en-US"/>
        </w:rPr>
        <w:t>Proceedings of the National Academy of Science</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109: 7156–7161.</w:t>
      </w:r>
    </w:p>
    <w:p w:rsidR="00D7555C" w:rsidRPr="00C509DB" w:rsidRDefault="006D3B92" w:rsidP="00340D4F">
      <w:pPr>
        <w:spacing w:line="360" w:lineRule="auto"/>
        <w:ind w:left="709" w:hanging="709"/>
        <w:rPr>
          <w:rFonts w:ascii="Times New Roman" w:hAnsi="Times New Roman" w:cs="Times New Roman"/>
          <w:sz w:val="24"/>
          <w:szCs w:val="24"/>
          <w:lang w:val="en-US"/>
        </w:rPr>
      </w:pPr>
      <w:r w:rsidRPr="006D3B92">
        <w:rPr>
          <w:rFonts w:ascii="Times New Roman" w:hAnsi="Times New Roman" w:cs="Times New Roman"/>
          <w:sz w:val="24"/>
          <w:szCs w:val="24"/>
          <w:lang w:val="en-US"/>
        </w:rPr>
        <w:t>O’Brien</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K</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(2012)</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Global environmental change II: From</w:t>
      </w:r>
      <w:r>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 xml:space="preserve">adaptation to deliberate transformation. </w:t>
      </w:r>
      <w:r w:rsidRPr="005C0934">
        <w:rPr>
          <w:rFonts w:ascii="Times New Roman" w:hAnsi="Times New Roman" w:cs="Times New Roman"/>
          <w:i/>
          <w:sz w:val="24"/>
          <w:szCs w:val="24"/>
          <w:lang w:val="en-US"/>
        </w:rPr>
        <w:t>Progress in Human Geography</w:t>
      </w:r>
      <w:r w:rsidR="005C0934">
        <w:rPr>
          <w:rFonts w:ascii="Times New Roman" w:hAnsi="Times New Roman" w:cs="Times New Roman"/>
          <w:sz w:val="24"/>
          <w:szCs w:val="24"/>
          <w:lang w:val="en-US"/>
        </w:rPr>
        <w:t>,</w:t>
      </w:r>
      <w:r w:rsidRPr="006D3B92">
        <w:rPr>
          <w:rFonts w:ascii="Times New Roman" w:hAnsi="Times New Roman" w:cs="Times New Roman"/>
          <w:sz w:val="24"/>
          <w:szCs w:val="24"/>
          <w:lang w:val="en-US"/>
        </w:rPr>
        <w:t xml:space="preserve"> 36</w:t>
      </w:r>
      <w:r w:rsidR="005C0934">
        <w:rPr>
          <w:rFonts w:ascii="Times New Roman" w:hAnsi="Times New Roman" w:cs="Times New Roman"/>
          <w:sz w:val="24"/>
          <w:szCs w:val="24"/>
          <w:lang w:val="en-US"/>
        </w:rPr>
        <w:t xml:space="preserve"> </w:t>
      </w:r>
      <w:r w:rsidRPr="006D3B92">
        <w:rPr>
          <w:rFonts w:ascii="Times New Roman" w:hAnsi="Times New Roman" w:cs="Times New Roman"/>
          <w:sz w:val="24"/>
          <w:szCs w:val="24"/>
          <w:lang w:val="en-US"/>
        </w:rPr>
        <w:t>(5): 667–676.</w:t>
      </w:r>
    </w:p>
    <w:sectPr w:rsidR="00D7555C" w:rsidRPr="00C509DB" w:rsidSect="00D7555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65F" w:rsidRDefault="006F465F" w:rsidP="009C67AE">
      <w:pPr>
        <w:spacing w:after="0" w:line="240" w:lineRule="auto"/>
      </w:pPr>
      <w:r>
        <w:separator/>
      </w:r>
    </w:p>
  </w:endnote>
  <w:endnote w:type="continuationSeparator" w:id="0">
    <w:p w:rsidR="006F465F" w:rsidRDefault="006F465F" w:rsidP="009C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65F" w:rsidRDefault="006F465F" w:rsidP="009C67AE">
      <w:pPr>
        <w:spacing w:after="0" w:line="240" w:lineRule="auto"/>
      </w:pPr>
      <w:r>
        <w:separator/>
      </w:r>
    </w:p>
  </w:footnote>
  <w:footnote w:type="continuationSeparator" w:id="0">
    <w:p w:rsidR="006F465F" w:rsidRDefault="006F465F" w:rsidP="009C67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9EB"/>
    <w:rsid w:val="000011BD"/>
    <w:rsid w:val="0001133D"/>
    <w:rsid w:val="00012CF8"/>
    <w:rsid w:val="000B09A6"/>
    <w:rsid w:val="000B6A35"/>
    <w:rsid w:val="000D2658"/>
    <w:rsid w:val="000F2D39"/>
    <w:rsid w:val="001261D9"/>
    <w:rsid w:val="00147113"/>
    <w:rsid w:val="0017088D"/>
    <w:rsid w:val="00181231"/>
    <w:rsid w:val="001F56A9"/>
    <w:rsid w:val="002045C0"/>
    <w:rsid w:val="00213FDC"/>
    <w:rsid w:val="00233DF4"/>
    <w:rsid w:val="00241505"/>
    <w:rsid w:val="0026562A"/>
    <w:rsid w:val="00275A3E"/>
    <w:rsid w:val="002808E1"/>
    <w:rsid w:val="0028238E"/>
    <w:rsid w:val="002B2C36"/>
    <w:rsid w:val="00304FD5"/>
    <w:rsid w:val="00340D4F"/>
    <w:rsid w:val="0037236E"/>
    <w:rsid w:val="003A3C07"/>
    <w:rsid w:val="003B39CB"/>
    <w:rsid w:val="003F0214"/>
    <w:rsid w:val="0046567F"/>
    <w:rsid w:val="00470B54"/>
    <w:rsid w:val="004A1DD2"/>
    <w:rsid w:val="004C1555"/>
    <w:rsid w:val="004D5663"/>
    <w:rsid w:val="005938E6"/>
    <w:rsid w:val="005A156D"/>
    <w:rsid w:val="005A723E"/>
    <w:rsid w:val="005C0934"/>
    <w:rsid w:val="00610AEF"/>
    <w:rsid w:val="00632F79"/>
    <w:rsid w:val="00643940"/>
    <w:rsid w:val="00650CA8"/>
    <w:rsid w:val="00683D2C"/>
    <w:rsid w:val="006D3B92"/>
    <w:rsid w:val="006F465F"/>
    <w:rsid w:val="00762020"/>
    <w:rsid w:val="00767ACA"/>
    <w:rsid w:val="0078209E"/>
    <w:rsid w:val="007E3DA7"/>
    <w:rsid w:val="008441D9"/>
    <w:rsid w:val="00870CE9"/>
    <w:rsid w:val="008A09EB"/>
    <w:rsid w:val="008A7944"/>
    <w:rsid w:val="008C6E01"/>
    <w:rsid w:val="00902E58"/>
    <w:rsid w:val="00917542"/>
    <w:rsid w:val="009C48F8"/>
    <w:rsid w:val="009C67AE"/>
    <w:rsid w:val="009D35BA"/>
    <w:rsid w:val="00A05DAD"/>
    <w:rsid w:val="00A660DB"/>
    <w:rsid w:val="00A82C5C"/>
    <w:rsid w:val="00A8391A"/>
    <w:rsid w:val="00B530F6"/>
    <w:rsid w:val="00B658E6"/>
    <w:rsid w:val="00BB7705"/>
    <w:rsid w:val="00BE2FC3"/>
    <w:rsid w:val="00BE317D"/>
    <w:rsid w:val="00C31146"/>
    <w:rsid w:val="00C40932"/>
    <w:rsid w:val="00C509DB"/>
    <w:rsid w:val="00C72E81"/>
    <w:rsid w:val="00C9194B"/>
    <w:rsid w:val="00CB4667"/>
    <w:rsid w:val="00CE2076"/>
    <w:rsid w:val="00D32A7C"/>
    <w:rsid w:val="00D6225D"/>
    <w:rsid w:val="00D7555C"/>
    <w:rsid w:val="00D82F93"/>
    <w:rsid w:val="00E0312D"/>
    <w:rsid w:val="00E2237C"/>
    <w:rsid w:val="00E25816"/>
    <w:rsid w:val="00E349A7"/>
    <w:rsid w:val="00E73A89"/>
    <w:rsid w:val="00ED39C0"/>
    <w:rsid w:val="00F044E1"/>
    <w:rsid w:val="00F225CE"/>
    <w:rsid w:val="00F44810"/>
    <w:rsid w:val="00F8333B"/>
    <w:rsid w:val="00FA3A53"/>
    <w:rsid w:val="00FF52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149A3-32D6-4E29-BB9E-5736363A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9A6"/>
    <w:pPr>
      <w:spacing w:after="200" w:line="276" w:lineRule="auto"/>
    </w:pPr>
    <w:rPr>
      <w:rFonts w:eastAsiaTheme="minorEastAs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B09A6"/>
    <w:rPr>
      <w:color w:val="0563C1" w:themeColor="hyperlink"/>
      <w:u w:val="single"/>
    </w:rPr>
  </w:style>
  <w:style w:type="paragraph" w:styleId="HTMLconformatoprevio">
    <w:name w:val="HTML Preformatted"/>
    <w:basedOn w:val="Normal"/>
    <w:link w:val="HTMLconformatoprevioCar"/>
    <w:uiPriority w:val="99"/>
    <w:semiHidden/>
    <w:unhideWhenUsed/>
    <w:rsid w:val="00A82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A82C5C"/>
    <w:rPr>
      <w:rFonts w:ascii="Courier New" w:eastAsia="Times New Roman" w:hAnsi="Courier New" w:cs="Courier New"/>
      <w:sz w:val="20"/>
      <w:szCs w:val="20"/>
      <w:lang w:eastAsia="es-ES"/>
    </w:rPr>
  </w:style>
  <w:style w:type="paragraph" w:styleId="Encabezado">
    <w:name w:val="header"/>
    <w:basedOn w:val="Normal"/>
    <w:link w:val="EncabezadoCar"/>
    <w:uiPriority w:val="99"/>
    <w:unhideWhenUsed/>
    <w:rsid w:val="009C67A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C67AE"/>
    <w:rPr>
      <w:rFonts w:eastAsiaTheme="minorEastAsia"/>
      <w:lang w:eastAsia="es-ES"/>
    </w:rPr>
  </w:style>
  <w:style w:type="paragraph" w:styleId="Piedepgina">
    <w:name w:val="footer"/>
    <w:basedOn w:val="Normal"/>
    <w:link w:val="PiedepginaCar"/>
    <w:uiPriority w:val="99"/>
    <w:unhideWhenUsed/>
    <w:rsid w:val="009C67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C67AE"/>
    <w:rPr>
      <w:rFonts w:eastAsiaTheme="minorEastAsia"/>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71512">
      <w:bodyDiv w:val="1"/>
      <w:marLeft w:val="0"/>
      <w:marRight w:val="0"/>
      <w:marTop w:val="0"/>
      <w:marBottom w:val="0"/>
      <w:divBdr>
        <w:top w:val="none" w:sz="0" w:space="0" w:color="auto"/>
        <w:left w:val="none" w:sz="0" w:space="0" w:color="auto"/>
        <w:bottom w:val="none" w:sz="0" w:space="0" w:color="auto"/>
        <w:right w:val="none" w:sz="0" w:space="0" w:color="auto"/>
      </w:divBdr>
    </w:div>
    <w:div w:id="246689609">
      <w:bodyDiv w:val="1"/>
      <w:marLeft w:val="0"/>
      <w:marRight w:val="0"/>
      <w:marTop w:val="0"/>
      <w:marBottom w:val="0"/>
      <w:divBdr>
        <w:top w:val="none" w:sz="0" w:space="0" w:color="auto"/>
        <w:left w:val="none" w:sz="0" w:space="0" w:color="auto"/>
        <w:bottom w:val="none" w:sz="0" w:space="0" w:color="auto"/>
        <w:right w:val="none" w:sz="0" w:space="0" w:color="auto"/>
      </w:divBdr>
    </w:div>
    <w:div w:id="505755273">
      <w:bodyDiv w:val="1"/>
      <w:marLeft w:val="0"/>
      <w:marRight w:val="0"/>
      <w:marTop w:val="0"/>
      <w:marBottom w:val="0"/>
      <w:divBdr>
        <w:top w:val="none" w:sz="0" w:space="0" w:color="auto"/>
        <w:left w:val="none" w:sz="0" w:space="0" w:color="auto"/>
        <w:bottom w:val="none" w:sz="0" w:space="0" w:color="auto"/>
        <w:right w:val="none" w:sz="0" w:space="0" w:color="auto"/>
      </w:divBdr>
    </w:div>
    <w:div w:id="951017754">
      <w:bodyDiv w:val="1"/>
      <w:marLeft w:val="0"/>
      <w:marRight w:val="0"/>
      <w:marTop w:val="0"/>
      <w:marBottom w:val="0"/>
      <w:divBdr>
        <w:top w:val="none" w:sz="0" w:space="0" w:color="auto"/>
        <w:left w:val="none" w:sz="0" w:space="0" w:color="auto"/>
        <w:bottom w:val="none" w:sz="0" w:space="0" w:color="auto"/>
        <w:right w:val="none" w:sz="0" w:space="0" w:color="auto"/>
      </w:divBdr>
    </w:div>
    <w:div w:id="1278757179">
      <w:bodyDiv w:val="1"/>
      <w:marLeft w:val="0"/>
      <w:marRight w:val="0"/>
      <w:marTop w:val="0"/>
      <w:marBottom w:val="0"/>
      <w:divBdr>
        <w:top w:val="none" w:sz="0" w:space="0" w:color="auto"/>
        <w:left w:val="none" w:sz="0" w:space="0" w:color="auto"/>
        <w:bottom w:val="none" w:sz="0" w:space="0" w:color="auto"/>
        <w:right w:val="none" w:sz="0" w:space="0" w:color="auto"/>
      </w:divBdr>
    </w:div>
    <w:div w:id="1760756079">
      <w:bodyDiv w:val="1"/>
      <w:marLeft w:val="0"/>
      <w:marRight w:val="0"/>
      <w:marTop w:val="0"/>
      <w:marBottom w:val="0"/>
      <w:divBdr>
        <w:top w:val="none" w:sz="0" w:space="0" w:color="auto"/>
        <w:left w:val="none" w:sz="0" w:space="0" w:color="auto"/>
        <w:bottom w:val="none" w:sz="0" w:space="0" w:color="auto"/>
        <w:right w:val="none" w:sz="0" w:space="0" w:color="auto"/>
      </w:divBdr>
    </w:div>
    <w:div w:id="1789933503">
      <w:bodyDiv w:val="1"/>
      <w:marLeft w:val="0"/>
      <w:marRight w:val="0"/>
      <w:marTop w:val="0"/>
      <w:marBottom w:val="0"/>
      <w:divBdr>
        <w:top w:val="none" w:sz="0" w:space="0" w:color="auto"/>
        <w:left w:val="none" w:sz="0" w:space="0" w:color="auto"/>
        <w:bottom w:val="none" w:sz="0" w:space="0" w:color="auto"/>
        <w:right w:val="none" w:sz="0" w:space="0" w:color="auto"/>
      </w:divBdr>
    </w:div>
    <w:div w:id="2044672563">
      <w:bodyDiv w:val="1"/>
      <w:marLeft w:val="0"/>
      <w:marRight w:val="0"/>
      <w:marTop w:val="0"/>
      <w:marBottom w:val="0"/>
      <w:divBdr>
        <w:top w:val="none" w:sz="0" w:space="0" w:color="auto"/>
        <w:left w:val="none" w:sz="0" w:space="0" w:color="auto"/>
        <w:bottom w:val="none" w:sz="0" w:space="0" w:color="auto"/>
        <w:right w:val="none" w:sz="0" w:space="0" w:color="auto"/>
      </w:divBdr>
    </w:div>
    <w:div w:id="213228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milar@uclv.cu" TargetMode="External"/><Relationship Id="rId3" Type="http://schemas.openxmlformats.org/officeDocument/2006/relationships/settings" Target="settings.xml"/><Relationship Id="rId7" Type="http://schemas.openxmlformats.org/officeDocument/2006/relationships/hyperlink" Target="mailto:dianarg@uclv.c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58789-58A3-4EBA-8782-AEC11DBE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685</Words>
  <Characters>3772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Diana.Inc</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Rosa</dc:creator>
  <cp:keywords/>
  <dc:description/>
  <cp:lastModifiedBy>Diana Rosa</cp:lastModifiedBy>
  <cp:revision>100</cp:revision>
  <dcterms:created xsi:type="dcterms:W3CDTF">2019-03-29T10:43:00Z</dcterms:created>
  <dcterms:modified xsi:type="dcterms:W3CDTF">2019-03-29T21:22:00Z</dcterms:modified>
</cp:coreProperties>
</file>